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7BB2" w14:textId="21291A86" w:rsidR="00831247" w:rsidRDefault="00831247" w:rsidP="00831247">
      <w:pPr>
        <w:pStyle w:val="Heading2"/>
      </w:pPr>
      <w:r>
        <w:t>Audience</w:t>
      </w:r>
    </w:p>
    <w:p w14:paraId="204766F9" w14:textId="320B3124" w:rsidR="00831247" w:rsidRDefault="00B424C1" w:rsidP="00E70A15">
      <w:r>
        <w:t>7</w:t>
      </w:r>
      <w:r w:rsidRPr="00B424C1">
        <w:rPr>
          <w:vertAlign w:val="superscript"/>
        </w:rPr>
        <w:t>th</w:t>
      </w:r>
      <w:r>
        <w:t xml:space="preserve"> – 12</w:t>
      </w:r>
      <w:r w:rsidRPr="00B424C1">
        <w:rPr>
          <w:vertAlign w:val="superscript"/>
        </w:rPr>
        <w:t>th</w:t>
      </w:r>
      <w:r>
        <w:t xml:space="preserve"> grade students</w:t>
      </w:r>
    </w:p>
    <w:p w14:paraId="4020E8E4" w14:textId="15BC617C" w:rsidR="00B424C1" w:rsidRDefault="00B424C1" w:rsidP="00B424C1">
      <w:pPr>
        <w:pStyle w:val="Heading2"/>
      </w:pPr>
      <w:r>
        <w:t>Time</w:t>
      </w:r>
    </w:p>
    <w:p w14:paraId="75480CB5" w14:textId="0B9AB7D5" w:rsidR="00B424C1" w:rsidRDefault="00CE47EB" w:rsidP="00B424C1">
      <w:r>
        <w:t>10+ minutes</w:t>
      </w:r>
    </w:p>
    <w:p w14:paraId="7AF27B21" w14:textId="6ED8BC75" w:rsidR="00CE47EB" w:rsidRDefault="00CE47EB" w:rsidP="00CE47EB">
      <w:pPr>
        <w:pStyle w:val="Heading2"/>
      </w:pPr>
      <w:r>
        <w:t>Materials Needed</w:t>
      </w:r>
    </w:p>
    <w:p w14:paraId="47D7EA02" w14:textId="34425C10" w:rsidR="00CE47EB" w:rsidRDefault="00273574" w:rsidP="00924A27">
      <w:pPr>
        <w:pStyle w:val="ListParagraph"/>
        <w:numPr>
          <w:ilvl w:val="0"/>
          <w:numId w:val="2"/>
        </w:numPr>
      </w:pPr>
      <w:r>
        <w:t>List of careers</w:t>
      </w:r>
      <w:r w:rsidR="006277A2">
        <w:t xml:space="preserve"> </w:t>
      </w:r>
      <w:r w:rsidR="00F82E6E" w:rsidRPr="00F82E6E">
        <w:rPr>
          <w:i/>
        </w:rPr>
        <w:t xml:space="preserve">(try </w:t>
      </w:r>
      <w:hyperlink r:id="rId10" w:history="1">
        <w:r w:rsidR="00F82E6E" w:rsidRPr="00C0650C">
          <w:rPr>
            <w:rStyle w:val="Hyperlink"/>
            <w:i/>
          </w:rPr>
          <w:t>101 Careers</w:t>
        </w:r>
      </w:hyperlink>
      <w:r w:rsidR="00F82E6E" w:rsidRPr="00F82E6E">
        <w:rPr>
          <w:i/>
        </w:rPr>
        <w:t>)</w:t>
      </w:r>
    </w:p>
    <w:p w14:paraId="24B274BF" w14:textId="5D84C40C" w:rsidR="00273574" w:rsidRDefault="00273574" w:rsidP="00273574">
      <w:pPr>
        <w:pStyle w:val="Heading2"/>
      </w:pPr>
      <w:r>
        <w:t>Purpose</w:t>
      </w:r>
    </w:p>
    <w:p w14:paraId="4A7842A3" w14:textId="13AA1742" w:rsidR="00273574" w:rsidRDefault="00273574" w:rsidP="00273574">
      <w:r>
        <w:t>Encourage</w:t>
      </w:r>
      <w:r w:rsidR="00F82E6E">
        <w:t>s</w:t>
      </w:r>
      <w:r>
        <w:t xml:space="preserve"> students to think critically about different types of careers. </w:t>
      </w:r>
      <w:r w:rsidR="00A50B97">
        <w:t xml:space="preserve">Use it as a brief activity </w:t>
      </w:r>
      <w:r w:rsidR="00C01D03">
        <w:t xml:space="preserve">when introducing a new career exploration topic or between activities. </w:t>
      </w:r>
      <w:r w:rsidR="00E74D68">
        <w:t xml:space="preserve">Alternatively, ask guest speakers to play </w:t>
      </w:r>
      <w:r w:rsidR="005A5336">
        <w:t xml:space="preserve">a round </w:t>
      </w:r>
      <w:r w:rsidR="00E74D68">
        <w:t>with students before their presentation</w:t>
      </w:r>
      <w:r w:rsidR="00944216">
        <w:t xml:space="preserve"> as a means of introducing them</w:t>
      </w:r>
      <w:r w:rsidR="005A5336">
        <w:t xml:space="preserve"> and their job</w:t>
      </w:r>
      <w:r w:rsidR="00944216">
        <w:t xml:space="preserve">. </w:t>
      </w:r>
    </w:p>
    <w:p w14:paraId="332587DE" w14:textId="7F640103" w:rsidR="005A5336" w:rsidRDefault="005A5336" w:rsidP="005A5336">
      <w:pPr>
        <w:pStyle w:val="Heading1"/>
      </w:pPr>
      <w:r>
        <w:t>Instructions</w:t>
      </w:r>
    </w:p>
    <w:p w14:paraId="2ED837A8" w14:textId="5FF7DBE2" w:rsidR="003D1ACD" w:rsidRDefault="00321017" w:rsidP="005A5336">
      <w:r>
        <w:t xml:space="preserve">Before playing for the first time, lead a brief discussion about </w:t>
      </w:r>
      <w:r w:rsidR="0096148F">
        <w:t xml:space="preserve">what they can tell about a career </w:t>
      </w:r>
      <w:r w:rsidR="00960F7F">
        <w:t>from different types of information. For example,</w:t>
      </w:r>
      <w:r w:rsidR="003D1ACD">
        <w:t xml:space="preserve"> as</w:t>
      </w:r>
      <w:r w:rsidR="58989676">
        <w:t>k</w:t>
      </w:r>
      <w:r w:rsidR="003D1ACD">
        <w:t xml:space="preserve"> them to consider the following types of questions: </w:t>
      </w:r>
    </w:p>
    <w:p w14:paraId="5F98E33D" w14:textId="77777777" w:rsidR="00D200C4" w:rsidRDefault="00D200C4" w:rsidP="00D200C4">
      <w:pPr>
        <w:pStyle w:val="ListParagraph"/>
        <w:numPr>
          <w:ilvl w:val="0"/>
          <w:numId w:val="3"/>
        </w:numPr>
      </w:pPr>
      <w:r>
        <w:t>W</w:t>
      </w:r>
      <w:r w:rsidR="00960F7F">
        <w:t>hat kinds of careers require workers to wear a uniform</w:t>
      </w:r>
      <w:r w:rsidR="00C64CAB">
        <w:t xml:space="preserve"> or use specific tools? </w:t>
      </w:r>
    </w:p>
    <w:p w14:paraId="03EEB531" w14:textId="77777777" w:rsidR="00D200C4" w:rsidRDefault="00C64CAB" w:rsidP="00D200C4">
      <w:pPr>
        <w:pStyle w:val="ListParagraph"/>
        <w:numPr>
          <w:ilvl w:val="0"/>
          <w:numId w:val="3"/>
        </w:numPr>
      </w:pPr>
      <w:r>
        <w:t xml:space="preserve">What kinds of careers require workers to be outside or physically active? </w:t>
      </w:r>
    </w:p>
    <w:p w14:paraId="4528F2D5" w14:textId="77777777" w:rsidR="00D200C4" w:rsidRDefault="00C64CAB" w:rsidP="00D200C4">
      <w:pPr>
        <w:pStyle w:val="ListParagraph"/>
        <w:numPr>
          <w:ilvl w:val="0"/>
          <w:numId w:val="3"/>
        </w:numPr>
      </w:pPr>
      <w:r>
        <w:t xml:space="preserve">What kinds of careers </w:t>
      </w:r>
      <w:r w:rsidR="00DF500E">
        <w:t xml:space="preserve">require a year or two of education after high school, and what kinds require more than four years? </w:t>
      </w:r>
    </w:p>
    <w:p w14:paraId="78A6B068" w14:textId="77A9B8F1" w:rsidR="0096148F" w:rsidRDefault="003D1ACD" w:rsidP="00D200C4">
      <w:pPr>
        <w:pStyle w:val="ListParagraph"/>
        <w:numPr>
          <w:ilvl w:val="0"/>
          <w:numId w:val="3"/>
        </w:numPr>
      </w:pPr>
      <w:r>
        <w:t>What kinds of careers do workers do alone, and what kinds do they do as a member of a team?</w:t>
      </w:r>
    </w:p>
    <w:p w14:paraId="33B1DCAD" w14:textId="1F7B8D6B" w:rsidR="00D200C4" w:rsidRDefault="00AA1EA2" w:rsidP="00D200C4">
      <w:r>
        <w:t xml:space="preserve">Encourage students to think of yes-or-no questions that </w:t>
      </w:r>
      <w:r w:rsidR="00A6502C">
        <w:t>can help them get this type of information.</w:t>
      </w:r>
    </w:p>
    <w:p w14:paraId="5BA9BC33" w14:textId="77777777" w:rsidR="00A6502C" w:rsidRDefault="00EF72D7" w:rsidP="005A5336">
      <w:r w:rsidRPr="00A6502C">
        <w:rPr>
          <w:b/>
          <w:bCs/>
        </w:rPr>
        <w:t xml:space="preserve">Identify one student (or guest speaker) to </w:t>
      </w:r>
      <w:r w:rsidR="00F36469" w:rsidRPr="00A6502C">
        <w:rPr>
          <w:b/>
          <w:bCs/>
        </w:rPr>
        <w:t>be the worker</w:t>
      </w:r>
      <w:r w:rsidR="00D37773" w:rsidRPr="00A6502C">
        <w:rPr>
          <w:b/>
          <w:bCs/>
        </w:rPr>
        <w:t>.</w:t>
      </w:r>
      <w:r w:rsidR="00D37773">
        <w:t xml:space="preserve"> </w:t>
      </w:r>
    </w:p>
    <w:p w14:paraId="0A59926A" w14:textId="2E2CC0D0" w:rsidR="00A6502C" w:rsidRDefault="00D37773" w:rsidP="00A6502C">
      <w:pPr>
        <w:pStyle w:val="ListParagraph"/>
        <w:numPr>
          <w:ilvl w:val="0"/>
          <w:numId w:val="4"/>
        </w:numPr>
      </w:pPr>
      <w:r>
        <w:t xml:space="preserve">Ask the student to either think of a career or </w:t>
      </w:r>
      <w:r w:rsidR="00271888">
        <w:t xml:space="preserve">randomly </w:t>
      </w:r>
      <w:r>
        <w:t xml:space="preserve">choose one from </w:t>
      </w:r>
      <w:hyperlink r:id="rId11" w:history="1">
        <w:r w:rsidRPr="00C0650C">
          <w:rPr>
            <w:rStyle w:val="Hyperlink"/>
          </w:rPr>
          <w:t>101 Careers</w:t>
        </w:r>
      </w:hyperlink>
      <w:r>
        <w:t>.</w:t>
      </w:r>
      <w:r w:rsidR="00EF1416">
        <w:t xml:space="preserve"> </w:t>
      </w:r>
    </w:p>
    <w:p w14:paraId="5DCE9506" w14:textId="2A6620FE" w:rsidR="005A5336" w:rsidRDefault="00271888" w:rsidP="00A6502C">
      <w:pPr>
        <w:pStyle w:val="ListParagraph"/>
        <w:numPr>
          <w:ilvl w:val="0"/>
          <w:numId w:val="4"/>
        </w:numPr>
      </w:pPr>
      <w:r>
        <w:t xml:space="preserve">Other students can ask yes-or-no questions </w:t>
      </w:r>
      <w:r w:rsidR="00304D93">
        <w:t xml:space="preserve">to determine the chosen career. </w:t>
      </w:r>
    </w:p>
    <w:p w14:paraId="19358211" w14:textId="3FCCCE4E" w:rsidR="00304D93" w:rsidRDefault="00304D93" w:rsidP="00A6502C">
      <w:pPr>
        <w:pStyle w:val="ListParagraph"/>
        <w:numPr>
          <w:ilvl w:val="0"/>
          <w:numId w:val="4"/>
        </w:numPr>
      </w:pPr>
      <w:r>
        <w:t xml:space="preserve">Keep track of the number of questions they ask. </w:t>
      </w:r>
    </w:p>
    <w:p w14:paraId="1277D164" w14:textId="1CE5E247" w:rsidR="00B96596" w:rsidRDefault="00B96596" w:rsidP="00A6502C">
      <w:pPr>
        <w:pStyle w:val="ListParagraph"/>
        <w:numPr>
          <w:ilvl w:val="0"/>
          <w:numId w:val="4"/>
        </w:numPr>
      </w:pPr>
      <w:r>
        <w:t xml:space="preserve">The game ends when the career is guessed or the class has asked 20 questions, whichever is first. </w:t>
      </w:r>
    </w:p>
    <w:p w14:paraId="3C6AF3E9" w14:textId="77777777" w:rsidR="00C32898" w:rsidRPr="005A5336" w:rsidRDefault="00C32898" w:rsidP="00C32898"/>
    <w:sectPr w:rsidR="00C32898" w:rsidRPr="005A5336" w:rsidSect="00E70A15"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295B" w14:textId="77777777" w:rsidR="00D61148" w:rsidRDefault="00D61148" w:rsidP="00E70A15">
      <w:r>
        <w:separator/>
      </w:r>
    </w:p>
  </w:endnote>
  <w:endnote w:type="continuationSeparator" w:id="0">
    <w:p w14:paraId="726C44EE" w14:textId="77777777" w:rsidR="00D61148" w:rsidRDefault="00D61148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366E" w14:textId="77777777"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2353367A" wp14:editId="2353367B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14:paraId="23533671" w14:textId="77777777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353366F" w14:textId="77777777"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3533670" w14:textId="77777777"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23533672" w14:textId="77777777"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3675" w14:textId="77777777"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2353367C" wp14:editId="2353367D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14:paraId="23533678" w14:textId="77777777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3533676" w14:textId="77777777" w:rsidR="00732ADD" w:rsidRPr="00E70A15" w:rsidRDefault="00732ADD" w:rsidP="00E70A15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3533677" w14:textId="77777777"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23533679" w14:textId="77777777"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230A" w14:textId="77777777" w:rsidR="00D61148" w:rsidRDefault="00D61148" w:rsidP="00E70A15">
      <w:r>
        <w:separator/>
      </w:r>
    </w:p>
  </w:footnote>
  <w:footnote w:type="continuationSeparator" w:id="0">
    <w:p w14:paraId="716D08F2" w14:textId="77777777" w:rsidR="00D61148" w:rsidRDefault="00D61148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3673" w14:textId="74879F8E" w:rsidR="000D04E3" w:rsidRPr="00E70A15" w:rsidRDefault="0009477A" w:rsidP="00E70A15">
    <w:pPr>
      <w:pStyle w:val="Title"/>
    </w:pPr>
    <w:r>
      <w:t>Career 20 Questions</w:t>
    </w:r>
  </w:p>
  <w:p w14:paraId="23533674" w14:textId="30369CED" w:rsidR="000D04E3" w:rsidRPr="00E70A15" w:rsidRDefault="00F702C0" w:rsidP="00E70A15">
    <w:pPr>
      <w:pStyle w:val="Subtitle"/>
    </w:pPr>
    <w:r>
      <w:t>2</w:t>
    </w:r>
    <w:r w:rsidR="00862E1D">
      <w:t xml:space="preserve"> ways to play</w:t>
    </w:r>
    <w:r w:rsidR="00D707DE">
      <w:t xml:space="preserve">: </w:t>
    </w:r>
    <w:r w:rsidR="00924A27">
      <w:t>randomly selected careers</w:t>
    </w:r>
    <w:r>
      <w:t xml:space="preserve"> &amp; introducing guest speakers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50708"/>
    <w:multiLevelType w:val="hybridMultilevel"/>
    <w:tmpl w:val="F070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3E24"/>
    <w:multiLevelType w:val="hybridMultilevel"/>
    <w:tmpl w:val="7FF683DC"/>
    <w:lvl w:ilvl="0" w:tplc="E9DE8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1EB5"/>
    <w:multiLevelType w:val="hybridMultilevel"/>
    <w:tmpl w:val="5CF22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222562">
    <w:abstractNumId w:val="0"/>
  </w:num>
  <w:num w:numId="2" w16cid:durableId="775291451">
    <w:abstractNumId w:val="1"/>
  </w:num>
  <w:num w:numId="3" w16cid:durableId="1190609493">
    <w:abstractNumId w:val="3"/>
  </w:num>
  <w:num w:numId="4" w16cid:durableId="936408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6F"/>
    <w:rsid w:val="00054F0D"/>
    <w:rsid w:val="0009477A"/>
    <w:rsid w:val="000A6113"/>
    <w:rsid w:val="000D04E3"/>
    <w:rsid w:val="000E743B"/>
    <w:rsid w:val="000E7BD8"/>
    <w:rsid w:val="0010281E"/>
    <w:rsid w:val="001113D2"/>
    <w:rsid w:val="0013166F"/>
    <w:rsid w:val="00141262"/>
    <w:rsid w:val="001F5A8C"/>
    <w:rsid w:val="00222393"/>
    <w:rsid w:val="002368B9"/>
    <w:rsid w:val="00243EDF"/>
    <w:rsid w:val="00271888"/>
    <w:rsid w:val="00273574"/>
    <w:rsid w:val="00291FB7"/>
    <w:rsid w:val="00304D93"/>
    <w:rsid w:val="00321017"/>
    <w:rsid w:val="003456F1"/>
    <w:rsid w:val="003D1ACD"/>
    <w:rsid w:val="003D3B3A"/>
    <w:rsid w:val="003D5157"/>
    <w:rsid w:val="00402E68"/>
    <w:rsid w:val="00421607"/>
    <w:rsid w:val="00452CDF"/>
    <w:rsid w:val="00506F48"/>
    <w:rsid w:val="005148DF"/>
    <w:rsid w:val="00584DF3"/>
    <w:rsid w:val="005A5336"/>
    <w:rsid w:val="005B361D"/>
    <w:rsid w:val="006277A2"/>
    <w:rsid w:val="00732ADD"/>
    <w:rsid w:val="00761E11"/>
    <w:rsid w:val="00831247"/>
    <w:rsid w:val="00843909"/>
    <w:rsid w:val="00862E1D"/>
    <w:rsid w:val="0087438D"/>
    <w:rsid w:val="008C5D84"/>
    <w:rsid w:val="00924A27"/>
    <w:rsid w:val="00944216"/>
    <w:rsid w:val="009511A1"/>
    <w:rsid w:val="00960F7F"/>
    <w:rsid w:val="0096148F"/>
    <w:rsid w:val="00965745"/>
    <w:rsid w:val="00983816"/>
    <w:rsid w:val="009B4158"/>
    <w:rsid w:val="009B45C1"/>
    <w:rsid w:val="00A167A5"/>
    <w:rsid w:val="00A308DA"/>
    <w:rsid w:val="00A50B97"/>
    <w:rsid w:val="00A6502C"/>
    <w:rsid w:val="00AA1EA2"/>
    <w:rsid w:val="00B15169"/>
    <w:rsid w:val="00B424C1"/>
    <w:rsid w:val="00B567DF"/>
    <w:rsid w:val="00B93487"/>
    <w:rsid w:val="00B96596"/>
    <w:rsid w:val="00BB10FF"/>
    <w:rsid w:val="00BD55A4"/>
    <w:rsid w:val="00C01D03"/>
    <w:rsid w:val="00C0650C"/>
    <w:rsid w:val="00C32898"/>
    <w:rsid w:val="00C64CAB"/>
    <w:rsid w:val="00CE47EB"/>
    <w:rsid w:val="00D200C4"/>
    <w:rsid w:val="00D37773"/>
    <w:rsid w:val="00D61148"/>
    <w:rsid w:val="00D707DE"/>
    <w:rsid w:val="00DF500E"/>
    <w:rsid w:val="00E70A15"/>
    <w:rsid w:val="00E74D68"/>
    <w:rsid w:val="00EA295E"/>
    <w:rsid w:val="00EF1416"/>
    <w:rsid w:val="00EF72D7"/>
    <w:rsid w:val="00F36469"/>
    <w:rsid w:val="00F702C0"/>
    <w:rsid w:val="00F82E6E"/>
    <w:rsid w:val="00FA04E3"/>
    <w:rsid w:val="5819AD4A"/>
    <w:rsid w:val="58989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3364B"/>
  <w15:chartTrackingRefBased/>
  <w15:docId w15:val="{B8F6ACCB-2C77-4254-A611-4EDEB6E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15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5A5336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166F"/>
    <w:pPr>
      <w:spacing w:before="120"/>
      <w:outlineLvl w:val="1"/>
    </w:pPr>
    <w:rPr>
      <w:color w:val="8CC63F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336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66F"/>
    <w:rPr>
      <w:rFonts w:asciiTheme="majorHAnsi" w:hAnsiTheme="majorHAnsi"/>
      <w:color w:val="8CC63F" w:themeColor="accent2"/>
      <w:sz w:val="28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3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6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5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650C"/>
    <w:rPr>
      <w:color w:val="00AEE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egongoestocollege.org/resources/101-caree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regongoestocollege.org/resources/101-care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  <SharedWithUsers xmlns="d0b9bcb3-5a6c-4535-99d9-eec5ebc04d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B3C33E-288B-4531-A07C-913EE902C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aa283-16d9-4ab4-979a-8992a70bd2c6"/>
    <ds:schemaRef ds:uri="d0b9bcb3-5a6c-4535-99d9-eec5ebc0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F402F-FBD3-4C97-83A8-C14F4BA4C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A3C33-55E4-435E-9C10-17D1DC031521}">
  <ds:schemaRefs>
    <ds:schemaRef ds:uri="http://schemas.microsoft.com/office/2006/metadata/properties"/>
    <ds:schemaRef ds:uri="http://schemas.microsoft.com/office/infopath/2007/PartnerControls"/>
    <ds:schemaRef ds:uri="c75aa283-16d9-4ab4-979a-8992a70bd2c6"/>
    <ds:schemaRef ds:uri="d0b9bcb3-5a6c-4535-99d9-eec5ebc04d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Oregon State University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Rodriguez, Ashley Raven</cp:lastModifiedBy>
  <cp:revision>2</cp:revision>
  <dcterms:created xsi:type="dcterms:W3CDTF">2024-01-05T21:35:00Z</dcterms:created>
  <dcterms:modified xsi:type="dcterms:W3CDTF">2024-01-05T21:35:00Z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